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37274" w14:textId="77777777" w:rsidR="005321AB" w:rsidRPr="00582980" w:rsidRDefault="005321AB" w:rsidP="005321AB">
      <w:pPr>
        <w:keepNext/>
        <w:jc w:val="right"/>
        <w:outlineLvl w:val="2"/>
        <w:rPr>
          <w:rFonts w:eastAsia="SimSun"/>
          <w:b/>
          <w:szCs w:val="24"/>
          <w:lang w:eastAsia="en-US"/>
        </w:rPr>
      </w:pPr>
      <w:bookmarkStart w:id="0" w:name="_Toc241293484"/>
      <w:r w:rsidRPr="00582980">
        <w:rPr>
          <w:rFonts w:eastAsia="SimSun"/>
          <w:b/>
          <w:szCs w:val="24"/>
          <w:lang w:eastAsia="en-US"/>
        </w:rPr>
        <w:t>3. pielikums</w:t>
      </w:r>
    </w:p>
    <w:p w14:paraId="749AA826" w14:textId="46D431E1" w:rsidR="005321AB" w:rsidRPr="00582980" w:rsidRDefault="005321AB" w:rsidP="005321AB">
      <w:pPr>
        <w:ind w:left="360"/>
        <w:jc w:val="right"/>
        <w:rPr>
          <w:rFonts w:eastAsia="SimSun"/>
          <w:b/>
          <w:szCs w:val="24"/>
          <w:lang w:eastAsia="en-US"/>
        </w:rPr>
      </w:pPr>
      <w:r w:rsidRPr="00D31C7E">
        <w:rPr>
          <w:rFonts w:eastAsia="SimSun"/>
          <w:b/>
          <w:bCs/>
          <w:szCs w:val="24"/>
          <w:lang w:eastAsia="en-US"/>
        </w:rPr>
        <w:t>ID Nr.</w:t>
      </w:r>
      <w:r w:rsidRPr="00582980">
        <w:rPr>
          <w:rFonts w:eastAsia="SimSun"/>
          <w:szCs w:val="24"/>
          <w:lang w:eastAsia="en-US"/>
        </w:rPr>
        <w:t xml:space="preserve"> </w:t>
      </w:r>
      <w:r w:rsidR="000660CE">
        <w:rPr>
          <w:rFonts w:eastAsia="SimSun"/>
          <w:b/>
          <w:szCs w:val="24"/>
          <w:lang w:eastAsia="en-US"/>
        </w:rPr>
        <w:t>VKP 2025/3</w:t>
      </w:r>
    </w:p>
    <w:p w14:paraId="6C31BC1A" w14:textId="77777777" w:rsidR="005321AB" w:rsidRPr="00582980" w:rsidRDefault="005321AB" w:rsidP="005321AB">
      <w:pPr>
        <w:ind w:left="360"/>
        <w:jc w:val="right"/>
        <w:rPr>
          <w:rFonts w:eastAsia="SimSun"/>
          <w:sz w:val="20"/>
          <w:szCs w:val="20"/>
          <w:lang w:eastAsia="en-US"/>
        </w:rPr>
      </w:pPr>
    </w:p>
    <w:p w14:paraId="4B0A2CDA" w14:textId="77777777" w:rsidR="005321AB" w:rsidRPr="00582980" w:rsidRDefault="005321AB" w:rsidP="005321AB">
      <w:pPr>
        <w:jc w:val="center"/>
        <w:rPr>
          <w:rFonts w:eastAsia="SimSun"/>
          <w:b/>
          <w:szCs w:val="20"/>
          <w:lang w:eastAsia="en-US"/>
        </w:rPr>
      </w:pPr>
      <w:r w:rsidRPr="00582980">
        <w:rPr>
          <w:rFonts w:eastAsia="SimSun"/>
          <w:b/>
          <w:szCs w:val="20"/>
          <w:lang w:eastAsia="en-US"/>
        </w:rPr>
        <w:t>TEHNISKĀ SPECIFIKĀCIJA</w:t>
      </w:r>
    </w:p>
    <w:p w14:paraId="60678754" w14:textId="77777777" w:rsidR="005321AB" w:rsidRPr="00582980" w:rsidRDefault="005321AB" w:rsidP="005321AB">
      <w:pPr>
        <w:jc w:val="center"/>
        <w:rPr>
          <w:rFonts w:eastAsia="SimSun"/>
          <w:b/>
          <w:szCs w:val="20"/>
          <w:lang w:eastAsia="en-US"/>
        </w:rPr>
      </w:pPr>
    </w:p>
    <w:p w14:paraId="132E40C2" w14:textId="3511055C" w:rsidR="005321AB" w:rsidRPr="00EB4385" w:rsidRDefault="005321AB" w:rsidP="00EB4385">
      <w:pPr>
        <w:tabs>
          <w:tab w:val="left" w:pos="993"/>
        </w:tabs>
        <w:autoSpaceDE w:val="0"/>
        <w:autoSpaceDN w:val="0"/>
        <w:adjustRightInd w:val="0"/>
        <w:rPr>
          <w:rFonts w:eastAsia="SimSun"/>
          <w:b/>
          <w:bCs/>
          <w:szCs w:val="24"/>
          <w:lang w:eastAsia="en-US"/>
        </w:rPr>
      </w:pPr>
      <w:r w:rsidRPr="00582980">
        <w:rPr>
          <w:rFonts w:eastAsia="SimSun"/>
          <w:b/>
          <w:bCs/>
          <w:szCs w:val="24"/>
          <w:lang w:eastAsia="en-US"/>
        </w:rPr>
        <w:t>Veicamie darbi:</w:t>
      </w:r>
      <w:r w:rsidR="00EB4385" w:rsidRPr="00EB4385">
        <w:rPr>
          <w:rFonts w:eastAsia="Times New Roman"/>
          <w:b/>
          <w:bCs/>
          <w:caps/>
          <w:sz w:val="22"/>
        </w:rPr>
        <w:t xml:space="preserve"> </w:t>
      </w:r>
      <w:r w:rsidR="00EB4385" w:rsidRPr="007E695C">
        <w:rPr>
          <w:rFonts w:eastAsia="Times New Roman"/>
          <w:b/>
          <w:bCs/>
          <w:caps/>
          <w:sz w:val="22"/>
        </w:rPr>
        <w:t>“Daudzdzīvokļu dzīvojamās mājas Meža ielā 21, Viesītē  energoefektivitātes pasākum</w:t>
      </w:r>
      <w:r w:rsidR="00EB4385">
        <w:rPr>
          <w:rFonts w:eastAsia="Times New Roman"/>
          <w:b/>
          <w:bCs/>
          <w:caps/>
          <w:sz w:val="22"/>
        </w:rPr>
        <w:t xml:space="preserve">s. </w:t>
      </w:r>
      <w:r w:rsidR="00EB4385" w:rsidRPr="00964D67">
        <w:rPr>
          <w:b/>
          <w:bCs/>
          <w:sz w:val="22"/>
        </w:rPr>
        <w:t>Papildus darbi - ūdensvada, kanalizācijas stāvvadu un guļvadu nomaiņa</w:t>
      </w:r>
      <w:r w:rsidR="00EB4385">
        <w:rPr>
          <w:b/>
          <w:bCs/>
          <w:sz w:val="22"/>
        </w:rPr>
        <w:t>”</w:t>
      </w:r>
      <w:r w:rsidR="00EB4385">
        <w:rPr>
          <w:rFonts w:eastAsia="SimSun"/>
          <w:b/>
          <w:bCs/>
          <w:szCs w:val="24"/>
          <w:lang w:eastAsia="en-US"/>
        </w:rPr>
        <w:t xml:space="preserve"> </w:t>
      </w:r>
      <w:r w:rsidRPr="00582980">
        <w:rPr>
          <w:rFonts w:eastAsia="SimSun"/>
          <w:lang w:eastAsia="en-US"/>
        </w:rPr>
        <w:t>jāveic saskaņā ar tehnisko specifikāciju (3.pielikums) un Nolikuma nosacījumiem.</w:t>
      </w:r>
    </w:p>
    <w:p w14:paraId="707719E1" w14:textId="77777777" w:rsidR="005321AB" w:rsidRPr="00582980" w:rsidRDefault="005321AB" w:rsidP="005321AB">
      <w:pPr>
        <w:tabs>
          <w:tab w:val="left" w:pos="600"/>
          <w:tab w:val="left" w:pos="720"/>
          <w:tab w:val="left" w:pos="993"/>
        </w:tabs>
        <w:suppressAutoHyphens/>
        <w:jc w:val="both"/>
        <w:rPr>
          <w:rFonts w:eastAsia="SimSun"/>
          <w:lang w:eastAsia="en-US"/>
        </w:rPr>
      </w:pPr>
    </w:p>
    <w:p w14:paraId="2428D0EA" w14:textId="77777777" w:rsidR="005321AB" w:rsidRPr="00582980" w:rsidRDefault="005321AB" w:rsidP="005321AB">
      <w:pPr>
        <w:tabs>
          <w:tab w:val="left" w:pos="993"/>
        </w:tabs>
        <w:autoSpaceDE w:val="0"/>
        <w:autoSpaceDN w:val="0"/>
        <w:adjustRightInd w:val="0"/>
        <w:rPr>
          <w:rFonts w:eastAsia="SimSun"/>
          <w:b/>
          <w:bCs/>
          <w:szCs w:val="24"/>
          <w:lang w:eastAsia="en-US"/>
        </w:rPr>
      </w:pPr>
      <w:r w:rsidRPr="00582980">
        <w:rPr>
          <w:rFonts w:eastAsia="SimSun"/>
          <w:b/>
          <w:bCs/>
          <w:szCs w:val="24"/>
          <w:lang w:eastAsia="en-US"/>
        </w:rPr>
        <w:t>Darba uzdevums un apjomi:</w:t>
      </w:r>
    </w:p>
    <w:p w14:paraId="4CE3645E" w14:textId="77777777" w:rsidR="005321AB" w:rsidRPr="00582980" w:rsidRDefault="005321AB" w:rsidP="005321AB">
      <w:pPr>
        <w:spacing w:after="120"/>
        <w:jc w:val="both"/>
        <w:rPr>
          <w:rFonts w:eastAsia="SimSun"/>
          <w:szCs w:val="24"/>
          <w:lang w:eastAsia="en-US"/>
        </w:rPr>
      </w:pPr>
      <w:r w:rsidRPr="00582980">
        <w:rPr>
          <w:rFonts w:eastAsia="SimSun"/>
          <w:szCs w:val="24"/>
          <w:lang w:eastAsia="en-US"/>
        </w:rPr>
        <w:t>Ja Darbu daudzumu sarakstā ir minēti konkrēti materiālu ražotāju vai produktu nosaukumi, Pretendents drīkst piedāvāt šiem konkrētajiem produktiem ekvivalentu citu ražotāju produktus, kuri kvalitātes, izpildījuma, ekspluatācijas īpašību, savietojamības un funkcionalitātes ziņā ir līdzvērtīgi vai pārāki kā Darbu daudzumu sarakstā minētie, kā arī atbilst tehniskajā specifikācijā noteiktajiem nosacījumiem. Pretendents attiecīgajā tāmes pozīcijā norāda apzīmējumu „ekvivalents”</w:t>
      </w:r>
      <w:r>
        <w:rPr>
          <w:rFonts w:eastAsia="SimSun"/>
          <w:szCs w:val="24"/>
          <w:lang w:eastAsia="en-US"/>
        </w:rPr>
        <w:t xml:space="preserve">. </w:t>
      </w:r>
      <w:r w:rsidRPr="00582980">
        <w:rPr>
          <w:rFonts w:eastAsia="SimSun"/>
          <w:szCs w:val="24"/>
          <w:lang w:eastAsia="en-US"/>
        </w:rPr>
        <w:t>Ekvivalenta atbilstību noteiktajām prasībām jāpierāda ar materiālu, iekārtu un konstrukciju ražotāju sertifikātiem.</w:t>
      </w:r>
    </w:p>
    <w:p w14:paraId="4A8E4F4D" w14:textId="77777777" w:rsidR="005321AB" w:rsidRPr="00582980" w:rsidRDefault="005321AB" w:rsidP="005321AB">
      <w:pPr>
        <w:numPr>
          <w:ilvl w:val="3"/>
          <w:numId w:val="4"/>
        </w:numPr>
        <w:tabs>
          <w:tab w:val="left" w:pos="360"/>
        </w:tabs>
        <w:spacing w:after="120"/>
        <w:ind w:left="240" w:hanging="240"/>
        <w:jc w:val="both"/>
        <w:rPr>
          <w:rFonts w:eastAsia="SimSun"/>
          <w:szCs w:val="24"/>
          <w:lang w:eastAsia="en-US"/>
        </w:rPr>
      </w:pPr>
      <w:r w:rsidRPr="00582980">
        <w:rPr>
          <w:rFonts w:eastAsia="SimSun"/>
          <w:szCs w:val="24"/>
          <w:lang w:eastAsia="en-US"/>
        </w:rPr>
        <w:t xml:space="preserve">Līdz piedāvājuma iesniegšanai Pretendentam jāveic </w:t>
      </w:r>
      <w:r>
        <w:rPr>
          <w:rFonts w:eastAsia="SimSun"/>
          <w:szCs w:val="24"/>
          <w:lang w:eastAsia="en-US"/>
        </w:rPr>
        <w:t xml:space="preserve">obligāta </w:t>
      </w:r>
      <w:r w:rsidRPr="00582980">
        <w:rPr>
          <w:rFonts w:eastAsia="SimSun"/>
          <w:szCs w:val="24"/>
          <w:lang w:eastAsia="en-US"/>
        </w:rPr>
        <w:t>objekta apsekošana un jāizvērtē veicamo Darbu apjoms, i</w:t>
      </w:r>
      <w:r>
        <w:rPr>
          <w:rFonts w:eastAsia="SimSun"/>
          <w:szCs w:val="24"/>
          <w:lang w:eastAsia="en-US"/>
        </w:rPr>
        <w:t>z</w:t>
      </w:r>
      <w:r w:rsidRPr="00582980">
        <w:rPr>
          <w:rFonts w:eastAsia="SimSun"/>
          <w:szCs w:val="24"/>
          <w:lang w:eastAsia="en-US"/>
        </w:rPr>
        <w:t xml:space="preserve">vērtējot pasākumus, kas veicami, lai kvalitāti varētu izpildīt Darbus </w:t>
      </w:r>
      <w:r w:rsidRPr="00582980">
        <w:rPr>
          <w:rFonts w:eastAsia="SimSun"/>
          <w:i/>
          <w:szCs w:val="24"/>
          <w:lang w:eastAsia="en-US"/>
        </w:rPr>
        <w:t>(Pretendentam jāapraksta tehniskajā piedāvājumā).</w:t>
      </w:r>
    </w:p>
    <w:p w14:paraId="50851F0E" w14:textId="77777777" w:rsidR="005321AB" w:rsidRPr="00582980" w:rsidRDefault="005321AB" w:rsidP="005321AB">
      <w:pPr>
        <w:numPr>
          <w:ilvl w:val="3"/>
          <w:numId w:val="4"/>
        </w:numPr>
        <w:tabs>
          <w:tab w:val="left" w:pos="360"/>
        </w:tabs>
        <w:spacing w:after="120"/>
        <w:ind w:left="240" w:hanging="240"/>
        <w:jc w:val="both"/>
        <w:rPr>
          <w:rFonts w:eastAsia="SimSun"/>
          <w:szCs w:val="24"/>
          <w:lang w:eastAsia="en-US"/>
        </w:rPr>
      </w:pPr>
      <w:r w:rsidRPr="00582980">
        <w:rPr>
          <w:rFonts w:eastAsia="SimSun"/>
          <w:szCs w:val="24"/>
          <w:lang w:eastAsia="en-US"/>
        </w:rPr>
        <w:t>Pretendents ir atbildīgs par iesniegto piedāvājumu, ja arī piedāvājumā radušās kļūdas, nepareizi saprotot vai interpretējot nolikumā noteiktās prasības. Visi apjomi un risinājumi, kuri doti tehniskajā specifikācijā, Pretendentam ir jāpārbauda, un pēc piedāvājuma iesniegšanas vai pēc līguma noslēgšanas Pretendents nevar atsaukties uz nepilnīgu vai nesaprotamu tehnisko specifikāciju.</w:t>
      </w:r>
    </w:p>
    <w:p w14:paraId="1E052D03" w14:textId="77777777" w:rsidR="005321AB" w:rsidRPr="00582980" w:rsidRDefault="005321AB" w:rsidP="005321AB">
      <w:pPr>
        <w:numPr>
          <w:ilvl w:val="3"/>
          <w:numId w:val="4"/>
        </w:numPr>
        <w:tabs>
          <w:tab w:val="left" w:pos="360"/>
        </w:tabs>
        <w:spacing w:after="120"/>
        <w:ind w:left="240" w:hanging="240"/>
        <w:jc w:val="both"/>
        <w:rPr>
          <w:rFonts w:eastAsia="SimSun"/>
          <w:szCs w:val="24"/>
          <w:lang w:eastAsia="en-US"/>
        </w:rPr>
      </w:pPr>
      <w:r w:rsidRPr="00582980">
        <w:rPr>
          <w:rFonts w:eastAsia="SimSun"/>
          <w:szCs w:val="24"/>
          <w:lang w:eastAsia="en-US"/>
        </w:rPr>
        <w:t xml:space="preserve">Remontdarbu gaitā iegūtie materiāli, kuri atzīstami par būvgružiem, kuru savākšanai un uzkrāšanai līdz aizvešanai uz sertificētu izgāztuvi ir jāizmanto būvgružu konteineri. Būvniecības procesā radītie atkritumi jāsavāc un jāutilizē atsevišķi no sadzīves atkritumiem </w:t>
      </w:r>
      <w:r w:rsidRPr="00582980">
        <w:rPr>
          <w:rFonts w:eastAsia="SimSun"/>
          <w:i/>
          <w:szCs w:val="24"/>
          <w:lang w:eastAsia="en-US"/>
        </w:rPr>
        <w:t>(Pretendentam jāapraksta tehniskajā piedāvājumā).</w:t>
      </w:r>
    </w:p>
    <w:p w14:paraId="479C8629" w14:textId="77777777" w:rsidR="005321AB" w:rsidRPr="00582980" w:rsidRDefault="005321AB" w:rsidP="005321AB">
      <w:pPr>
        <w:numPr>
          <w:ilvl w:val="3"/>
          <w:numId w:val="4"/>
        </w:numPr>
        <w:tabs>
          <w:tab w:val="left" w:pos="360"/>
        </w:tabs>
        <w:spacing w:after="120"/>
        <w:ind w:left="240" w:hanging="240"/>
        <w:jc w:val="both"/>
        <w:rPr>
          <w:rFonts w:eastAsia="SimSun"/>
          <w:szCs w:val="24"/>
          <w:lang w:eastAsia="en-US"/>
        </w:rPr>
      </w:pPr>
      <w:r>
        <w:rPr>
          <w:rFonts w:eastAsia="SimSun"/>
          <w:szCs w:val="24"/>
          <w:lang w:eastAsia="en-US"/>
        </w:rPr>
        <w:t>R</w:t>
      </w:r>
      <w:r w:rsidRPr="00582980">
        <w:rPr>
          <w:rFonts w:eastAsia="SimSun"/>
          <w:szCs w:val="24"/>
          <w:lang w:eastAsia="en-US"/>
        </w:rPr>
        <w:t xml:space="preserve">emontdarbos drīkst izmantot tikai tādus materiālus, kas ir sertificēti izmantošanai Eiropas Savienībā. Un tikai tādus materiālus, kas atbilst ēkas funkcijai, nodrošinot kalpošanu bez defektiem garantijas laikā, kas nav mazāks par </w:t>
      </w:r>
      <w:r>
        <w:rPr>
          <w:rFonts w:eastAsia="SimSun"/>
          <w:szCs w:val="24"/>
          <w:lang w:eastAsia="en-US"/>
        </w:rPr>
        <w:t>60</w:t>
      </w:r>
      <w:r w:rsidRPr="00582980">
        <w:rPr>
          <w:rFonts w:eastAsia="SimSun"/>
          <w:szCs w:val="24"/>
          <w:lang w:eastAsia="en-US"/>
        </w:rPr>
        <w:t xml:space="preserve"> mēnešiem. </w:t>
      </w:r>
    </w:p>
    <w:p w14:paraId="5AD3A3F7" w14:textId="77777777" w:rsidR="005321AB" w:rsidRPr="00582980" w:rsidRDefault="005321AB" w:rsidP="005321AB">
      <w:pPr>
        <w:numPr>
          <w:ilvl w:val="3"/>
          <w:numId w:val="4"/>
        </w:numPr>
        <w:tabs>
          <w:tab w:val="left" w:pos="360"/>
        </w:tabs>
        <w:spacing w:after="120"/>
        <w:ind w:left="240" w:hanging="240"/>
        <w:jc w:val="both"/>
        <w:rPr>
          <w:rFonts w:eastAsia="SimSun"/>
          <w:szCs w:val="24"/>
          <w:lang w:eastAsia="en-US"/>
        </w:rPr>
      </w:pPr>
      <w:r w:rsidRPr="00582980">
        <w:rPr>
          <w:rFonts w:eastAsia="SimSun"/>
          <w:szCs w:val="24"/>
          <w:lang w:eastAsia="en-US"/>
        </w:rPr>
        <w:t xml:space="preserve">Remontdarbus ir jāorganizē un jāveic tādā veidā, lai </w:t>
      </w:r>
      <w:r>
        <w:rPr>
          <w:rFonts w:eastAsia="SimSun"/>
          <w:szCs w:val="24"/>
          <w:lang w:eastAsia="en-US"/>
        </w:rPr>
        <w:t>pēc iespējas minimizētu</w:t>
      </w:r>
      <w:r w:rsidRPr="00582980">
        <w:rPr>
          <w:rFonts w:eastAsia="SimSun"/>
          <w:szCs w:val="24"/>
          <w:lang w:eastAsia="en-US"/>
        </w:rPr>
        <w:t xml:space="preserve"> traucē</w:t>
      </w:r>
      <w:r>
        <w:rPr>
          <w:rFonts w:eastAsia="SimSun"/>
          <w:szCs w:val="24"/>
          <w:lang w:eastAsia="en-US"/>
        </w:rPr>
        <w:t>jumu</w:t>
      </w:r>
      <w:r w:rsidRPr="00582980">
        <w:rPr>
          <w:rFonts w:eastAsia="SimSun"/>
          <w:szCs w:val="24"/>
          <w:lang w:eastAsia="en-US"/>
        </w:rPr>
        <w:t xml:space="preserve"> iedzīvotājiem. </w:t>
      </w:r>
    </w:p>
    <w:p w14:paraId="0446291B" w14:textId="77777777" w:rsidR="005321AB" w:rsidRPr="00582980" w:rsidRDefault="005321AB" w:rsidP="005321AB">
      <w:pPr>
        <w:numPr>
          <w:ilvl w:val="3"/>
          <w:numId w:val="4"/>
        </w:numPr>
        <w:tabs>
          <w:tab w:val="left" w:pos="360"/>
        </w:tabs>
        <w:spacing w:after="120"/>
        <w:ind w:left="240" w:hanging="240"/>
        <w:jc w:val="both"/>
        <w:rPr>
          <w:rFonts w:eastAsia="SimSun"/>
          <w:szCs w:val="24"/>
          <w:lang w:eastAsia="en-US"/>
        </w:rPr>
      </w:pPr>
      <w:r w:rsidRPr="00582980">
        <w:rPr>
          <w:rFonts w:eastAsia="SimSun"/>
          <w:szCs w:val="24"/>
          <w:lang w:eastAsia="en-US"/>
        </w:rPr>
        <w:t>Piekļūšana stāvvadiem</w:t>
      </w:r>
      <w:r>
        <w:rPr>
          <w:rFonts w:eastAsia="SimSun"/>
          <w:szCs w:val="24"/>
          <w:lang w:eastAsia="en-US"/>
        </w:rPr>
        <w:t>, guļvadiem, ūdensvadam</w:t>
      </w:r>
      <w:r w:rsidRPr="00582980">
        <w:rPr>
          <w:rFonts w:eastAsia="SimSun"/>
          <w:szCs w:val="24"/>
          <w:lang w:eastAsia="en-US"/>
        </w:rPr>
        <w:t xml:space="preserve"> jāsaskaņo ar dzīvokļu iemītniekiem ne vēlāk kā </w:t>
      </w:r>
      <w:r>
        <w:rPr>
          <w:rFonts w:eastAsia="SimSun"/>
          <w:szCs w:val="24"/>
          <w:lang w:eastAsia="en-US"/>
        </w:rPr>
        <w:t>divas</w:t>
      </w:r>
      <w:r w:rsidRPr="00582980">
        <w:rPr>
          <w:rFonts w:eastAsia="SimSun"/>
          <w:szCs w:val="24"/>
          <w:lang w:eastAsia="en-US"/>
        </w:rPr>
        <w:t xml:space="preserve"> nedēļas pirms darbu uzsāk</w:t>
      </w:r>
      <w:r>
        <w:rPr>
          <w:rFonts w:eastAsia="SimSun"/>
          <w:szCs w:val="24"/>
          <w:lang w:eastAsia="en-US"/>
        </w:rPr>
        <w:t>ša</w:t>
      </w:r>
      <w:r w:rsidRPr="00582980">
        <w:rPr>
          <w:rFonts w:eastAsia="SimSun"/>
          <w:szCs w:val="24"/>
          <w:lang w:eastAsia="en-US"/>
        </w:rPr>
        <w:t>nas un darbi jāveic viņiem pieņemamā laikā, vajadzības gadījumā arī brīvdienās, vai  vakaros</w:t>
      </w:r>
      <w:r>
        <w:rPr>
          <w:rFonts w:eastAsia="SimSun"/>
          <w:szCs w:val="24"/>
          <w:lang w:eastAsia="en-US"/>
        </w:rPr>
        <w:t xml:space="preserve">. </w:t>
      </w:r>
      <w:r w:rsidRPr="00582980">
        <w:rPr>
          <w:rFonts w:eastAsia="SimSun"/>
          <w:szCs w:val="24"/>
          <w:lang w:eastAsia="en-US"/>
        </w:rPr>
        <w:t>Gadījumos kad nav iespējams sazināties ar dzīvokļa īpašnieku, nekavējoties, bet ne vēlāk kā trīs ned</w:t>
      </w:r>
      <w:r>
        <w:rPr>
          <w:rFonts w:eastAsia="SimSun"/>
          <w:szCs w:val="24"/>
          <w:lang w:eastAsia="en-US"/>
        </w:rPr>
        <w:t>ēļ</w:t>
      </w:r>
      <w:r w:rsidRPr="00582980">
        <w:rPr>
          <w:rFonts w:eastAsia="SimSun"/>
          <w:szCs w:val="24"/>
          <w:lang w:eastAsia="en-US"/>
        </w:rPr>
        <w:t>as pirms darbu uzsākšanas par to informē Pasūtītāju.</w:t>
      </w:r>
    </w:p>
    <w:p w14:paraId="12A39347" w14:textId="77777777" w:rsidR="005321AB" w:rsidRPr="00582980" w:rsidRDefault="005321AB" w:rsidP="005321AB">
      <w:pPr>
        <w:numPr>
          <w:ilvl w:val="3"/>
          <w:numId w:val="4"/>
        </w:numPr>
        <w:tabs>
          <w:tab w:val="left" w:pos="360"/>
        </w:tabs>
        <w:spacing w:after="120"/>
        <w:ind w:left="240" w:hanging="240"/>
        <w:jc w:val="both"/>
        <w:rPr>
          <w:rFonts w:eastAsia="SimSun"/>
          <w:szCs w:val="24"/>
          <w:lang w:eastAsia="en-US"/>
        </w:rPr>
      </w:pPr>
      <w:r w:rsidRPr="00582980">
        <w:rPr>
          <w:rFonts w:eastAsia="SimSun"/>
          <w:szCs w:val="24"/>
          <w:lang w:eastAsia="en-US"/>
        </w:rPr>
        <w:t xml:space="preserve">Būvdarbu veicējs nes materiālo atbildību par savas vainas dēļ nodarītajiem bojājumiem remontdarbu zonā esošajām signalizācijas sistēmām, datortīkliem un citiem ēkas inženiertīkliem </w:t>
      </w:r>
      <w:r w:rsidRPr="00582980">
        <w:rPr>
          <w:rFonts w:eastAsia="SimSun"/>
          <w:i/>
          <w:szCs w:val="24"/>
          <w:lang w:eastAsia="en-US"/>
        </w:rPr>
        <w:t>(Pretendentam jāapraksta tehniskajā piedāvājumā)</w:t>
      </w:r>
      <w:r>
        <w:rPr>
          <w:rFonts w:eastAsia="SimSun"/>
          <w:i/>
          <w:szCs w:val="24"/>
          <w:lang w:eastAsia="en-US"/>
        </w:rPr>
        <w:t>.</w:t>
      </w:r>
    </w:p>
    <w:p w14:paraId="2855D38D" w14:textId="77777777" w:rsidR="005321AB" w:rsidRPr="00582980" w:rsidRDefault="005321AB" w:rsidP="005321AB">
      <w:pPr>
        <w:numPr>
          <w:ilvl w:val="3"/>
          <w:numId w:val="4"/>
        </w:numPr>
        <w:tabs>
          <w:tab w:val="left" w:pos="360"/>
        </w:tabs>
        <w:spacing w:after="120"/>
        <w:ind w:left="240" w:hanging="240"/>
        <w:jc w:val="both"/>
        <w:rPr>
          <w:rFonts w:eastAsia="SimSun"/>
          <w:szCs w:val="24"/>
          <w:lang w:eastAsia="en-US"/>
        </w:rPr>
      </w:pPr>
      <w:r w:rsidRPr="00582980">
        <w:rPr>
          <w:rFonts w:eastAsia="SimSun"/>
          <w:szCs w:val="24"/>
          <w:lang w:eastAsia="en-US"/>
        </w:rPr>
        <w:t>Darbu zonā pastāvīgi jānodrošina kārtība un tīrība. Pēc pirmā aizrādījuma ir jālikvidē trūkumi. Nozīmēt atbildīgo par darba drošību un kārtību objektā. Nepieļaut nepiederošu personu atrašanos darbu zonā.</w:t>
      </w:r>
      <w:r w:rsidRPr="00582980">
        <w:rPr>
          <w:rFonts w:eastAsia="SimSun"/>
          <w:i/>
          <w:szCs w:val="24"/>
          <w:lang w:eastAsia="en-US"/>
        </w:rPr>
        <w:t>(Pretendentam jāapraksta tehniskajā piedāvājumā).</w:t>
      </w:r>
    </w:p>
    <w:p w14:paraId="7FA18A02" w14:textId="77777777" w:rsidR="005321AB" w:rsidRPr="00582980" w:rsidRDefault="005321AB" w:rsidP="005321AB">
      <w:pPr>
        <w:numPr>
          <w:ilvl w:val="3"/>
          <w:numId w:val="4"/>
        </w:numPr>
        <w:tabs>
          <w:tab w:val="left" w:pos="360"/>
        </w:tabs>
        <w:spacing w:after="120"/>
        <w:ind w:left="240" w:hanging="240"/>
        <w:jc w:val="both"/>
        <w:rPr>
          <w:rFonts w:eastAsia="SimSun"/>
          <w:szCs w:val="24"/>
          <w:lang w:eastAsia="en-US"/>
        </w:rPr>
      </w:pPr>
      <w:r w:rsidRPr="00582980">
        <w:rPr>
          <w:rFonts w:eastAsia="SimSun"/>
          <w:szCs w:val="24"/>
          <w:lang w:eastAsia="en-US"/>
        </w:rPr>
        <w:lastRenderedPageBreak/>
        <w:t xml:space="preserve">Materiālu uzglabāšana ir Pretendenta uzdevums un pienākums, kas jāparedz piedāvājuma līgumcenā </w:t>
      </w:r>
      <w:r w:rsidRPr="00582980">
        <w:rPr>
          <w:rFonts w:eastAsia="SimSun"/>
          <w:i/>
          <w:szCs w:val="24"/>
          <w:lang w:eastAsia="en-US"/>
        </w:rPr>
        <w:t>(Pretendentam jāapraksta tehniskajā piedāvājumā).</w:t>
      </w:r>
    </w:p>
    <w:p w14:paraId="73385AFF" w14:textId="77777777" w:rsidR="005321AB" w:rsidRPr="00582980" w:rsidRDefault="005321AB" w:rsidP="005321AB">
      <w:pPr>
        <w:numPr>
          <w:ilvl w:val="3"/>
          <w:numId w:val="4"/>
        </w:numPr>
        <w:tabs>
          <w:tab w:val="left" w:pos="360"/>
        </w:tabs>
        <w:spacing w:after="120"/>
        <w:ind w:left="240" w:hanging="240"/>
        <w:jc w:val="both"/>
        <w:rPr>
          <w:rFonts w:eastAsia="SimSun"/>
          <w:szCs w:val="24"/>
          <w:lang w:eastAsia="en-US"/>
        </w:rPr>
      </w:pPr>
      <w:r w:rsidRPr="00582980">
        <w:rPr>
          <w:rFonts w:eastAsia="SimSun"/>
          <w:szCs w:val="24"/>
          <w:lang w:eastAsia="en-US"/>
        </w:rPr>
        <w:t>Būvdarbi veicami, vadoties pēc dotajiem darbu apjomiem, Pasūtītāja, Būvuzrauga (Pasūtītāja pārstāvja) norādījumiem. Konstrukciju, izstrādājumu vai iekārtu pielietošana pieļaujama tikai ar Būvuzrauga un Pasūtītāja akceptu.</w:t>
      </w:r>
    </w:p>
    <w:p w14:paraId="5407D49C" w14:textId="77777777" w:rsidR="005321AB" w:rsidRPr="00582980" w:rsidRDefault="005321AB" w:rsidP="005321AB">
      <w:pPr>
        <w:numPr>
          <w:ilvl w:val="3"/>
          <w:numId w:val="4"/>
        </w:numPr>
        <w:tabs>
          <w:tab w:val="left" w:pos="360"/>
        </w:tabs>
        <w:spacing w:after="120"/>
        <w:ind w:left="240" w:hanging="240"/>
        <w:jc w:val="both"/>
        <w:rPr>
          <w:rFonts w:eastAsia="SimSun"/>
          <w:szCs w:val="24"/>
          <w:lang w:eastAsia="en-US"/>
        </w:rPr>
      </w:pPr>
      <w:r w:rsidRPr="00582980">
        <w:rPr>
          <w:rFonts w:eastAsia="SimSun"/>
          <w:szCs w:val="24"/>
          <w:lang w:eastAsia="en-US"/>
        </w:rPr>
        <w:t xml:space="preserve">Veicamo darbu sarakstā norādīto darbu izpilde, izstrādājumu uzstādīšana un iekārtu montāža ietver pilnu darba ciklu līdz attiecīgā stāvvada  gatavībai pilnīgai ekspluatācijai, ietverot visus materiālus un izstrādājumus, kas tehnoloģiski nepieciešami attiecīgā būves elementa,  drošai ekspluatācijai atbilstoši būvnormatīvu un ekspluatācijas noteikumu prasībām un ietverot visus nepieciešamos būvdarbus konkrētā darba izpildei. Būvdarbu veicējam ir pašam jānodrošina apstākļi, lai remontdarbi tiktu veikti atbilstoši tehnoloģijām, kuras norāda pielietoto būvmateriālu ražotāji </w:t>
      </w:r>
      <w:r w:rsidRPr="00582980">
        <w:rPr>
          <w:rFonts w:eastAsia="SimSun"/>
          <w:i/>
          <w:szCs w:val="24"/>
          <w:lang w:eastAsia="en-US"/>
        </w:rPr>
        <w:t>(Pretendentam jāapraksta tehniskajā piedāvājumā).</w:t>
      </w:r>
    </w:p>
    <w:p w14:paraId="4B7434C5" w14:textId="77777777" w:rsidR="005321AB" w:rsidRPr="00582980" w:rsidRDefault="005321AB" w:rsidP="005321AB">
      <w:pPr>
        <w:jc w:val="both"/>
        <w:rPr>
          <w:rFonts w:eastAsia="SimSun"/>
          <w:b/>
          <w:szCs w:val="24"/>
          <w:lang w:eastAsia="en-US"/>
        </w:rPr>
      </w:pPr>
      <w:r w:rsidRPr="00582980">
        <w:rPr>
          <w:rFonts w:eastAsia="SimSun"/>
          <w:b/>
          <w:szCs w:val="24"/>
          <w:lang w:eastAsia="en-US"/>
        </w:rPr>
        <w:t>Nosacījumi par speciālistiem:</w:t>
      </w:r>
    </w:p>
    <w:p w14:paraId="44194A13" w14:textId="77777777" w:rsidR="005321AB" w:rsidRPr="00582980" w:rsidRDefault="005321AB" w:rsidP="005321AB">
      <w:pPr>
        <w:autoSpaceDE w:val="0"/>
        <w:autoSpaceDN w:val="0"/>
        <w:adjustRightInd w:val="0"/>
        <w:spacing w:before="120" w:after="120"/>
        <w:ind w:left="120" w:hanging="120"/>
        <w:jc w:val="both"/>
        <w:rPr>
          <w:rFonts w:eastAsia="SimSun"/>
          <w:szCs w:val="24"/>
          <w:lang w:eastAsia="en-US"/>
        </w:rPr>
      </w:pPr>
      <w:r w:rsidRPr="00582980">
        <w:rPr>
          <w:rFonts w:eastAsia="SimSun"/>
          <w:szCs w:val="24"/>
          <w:lang w:eastAsia="en-US"/>
        </w:rPr>
        <w:t>1. Nodrošināt Atbildīgā būvdarbu vadītāja klātbūtni objektā vismaz 5 reizes nedēļā un kad vien nepieciešams, arī ārpus normālā darba laika un brīvdienās. Nodrošināt Atbildīgā būvdarbu vadītāja piedalīšanos katrā būvsapulcē, tas ir, vienu reizi divās nedēļās.</w:t>
      </w:r>
    </w:p>
    <w:p w14:paraId="193B92F2" w14:textId="77777777" w:rsidR="005321AB" w:rsidRPr="00582980" w:rsidRDefault="005321AB" w:rsidP="005321AB">
      <w:pPr>
        <w:autoSpaceDE w:val="0"/>
        <w:autoSpaceDN w:val="0"/>
        <w:adjustRightInd w:val="0"/>
        <w:ind w:right="-22"/>
        <w:rPr>
          <w:rFonts w:eastAsia="Arial,Italic"/>
          <w:b/>
          <w:iCs/>
          <w:szCs w:val="24"/>
          <w:lang w:eastAsia="en-US"/>
        </w:rPr>
      </w:pPr>
      <w:r w:rsidRPr="00582980">
        <w:rPr>
          <w:rFonts w:eastAsia="Arial,Italic"/>
          <w:b/>
          <w:iCs/>
          <w:szCs w:val="24"/>
          <w:lang w:eastAsia="en-US"/>
        </w:rPr>
        <w:t>Darbu daudzumos ir jāņem vērā:</w:t>
      </w:r>
    </w:p>
    <w:p w14:paraId="1D8111CD" w14:textId="77777777" w:rsidR="005321AB" w:rsidRPr="00582980" w:rsidRDefault="005321AB" w:rsidP="005321AB">
      <w:pPr>
        <w:ind w:left="142" w:right="-22" w:hanging="142"/>
        <w:jc w:val="both"/>
        <w:rPr>
          <w:rFonts w:eastAsia="SimSun"/>
          <w:szCs w:val="24"/>
        </w:rPr>
      </w:pPr>
      <w:r w:rsidRPr="00582980">
        <w:rPr>
          <w:rFonts w:eastAsia="Arial,Italic"/>
          <w:iCs/>
          <w:szCs w:val="24"/>
          <w:lang w:eastAsia="en-US"/>
        </w:rPr>
        <w:t xml:space="preserve">1. </w:t>
      </w:r>
      <w:r w:rsidRPr="00582980">
        <w:rPr>
          <w:rFonts w:eastAsia="SimSun"/>
          <w:szCs w:val="24"/>
        </w:rPr>
        <w:t>Izmantojamie materiāli pirms iegādes, izmantošanas ir jāsaskaņo ar būvuzraugu un pasūtītāju.</w:t>
      </w:r>
    </w:p>
    <w:p w14:paraId="7B94AEAD" w14:textId="77777777" w:rsidR="005321AB" w:rsidRPr="00582980" w:rsidRDefault="005321AB" w:rsidP="005321AB">
      <w:pPr>
        <w:ind w:left="142" w:hanging="142"/>
        <w:jc w:val="both"/>
        <w:rPr>
          <w:rFonts w:eastAsia="Arial,Italic"/>
          <w:iCs/>
          <w:szCs w:val="24"/>
          <w:lang w:eastAsia="en-US"/>
        </w:rPr>
      </w:pPr>
      <w:r w:rsidRPr="00582980">
        <w:rPr>
          <w:rFonts w:eastAsia="SimSun"/>
          <w:szCs w:val="24"/>
        </w:rPr>
        <w:t xml:space="preserve">2. </w:t>
      </w:r>
      <w:r w:rsidRPr="00582980">
        <w:rPr>
          <w:rFonts w:eastAsia="Arial,Italic"/>
          <w:iCs/>
          <w:szCs w:val="24"/>
          <w:lang w:eastAsia="en-US"/>
        </w:rPr>
        <w:t xml:space="preserve">Izstrādājot piedāvājumu, Pretendentam rūpīgi jāpārskata doto darbu daudzumu apjomu un </w:t>
      </w:r>
      <w:r w:rsidRPr="00582980">
        <w:rPr>
          <w:rFonts w:eastAsia="SimSun"/>
          <w:bCs/>
          <w:szCs w:val="24"/>
          <w:lang w:eastAsia="en-US"/>
        </w:rPr>
        <w:t xml:space="preserve">jāiekļauj izmaksas visiem nepieciešamajiem materiāliem, stiprinājumu elementiem, mehānismiem, darba rīkiem u.t.t., kas nav minēti tehniskajā specifikācijā, bet kas ir nepieciešami kvalitatīvai, atbilstoši tehnoloģijas, būvmateriālu ražotāju un būvnormatīvu prasībām darbu daudzumu sarakstā uzskaitīto darbu veikšanai. </w:t>
      </w:r>
    </w:p>
    <w:p w14:paraId="11FE0E73" w14:textId="77777777" w:rsidR="005321AB" w:rsidRPr="00582980" w:rsidRDefault="005321AB" w:rsidP="005321AB">
      <w:pPr>
        <w:autoSpaceDE w:val="0"/>
        <w:autoSpaceDN w:val="0"/>
        <w:adjustRightInd w:val="0"/>
        <w:ind w:left="142" w:right="-22" w:hanging="142"/>
        <w:jc w:val="both"/>
        <w:rPr>
          <w:rFonts w:eastAsia="Arial,Italic"/>
          <w:iCs/>
          <w:szCs w:val="24"/>
          <w:lang w:eastAsia="en-US"/>
        </w:rPr>
      </w:pPr>
      <w:r w:rsidRPr="00582980">
        <w:rPr>
          <w:rFonts w:eastAsia="Arial,Italic"/>
          <w:iCs/>
          <w:szCs w:val="24"/>
          <w:lang w:eastAsia="en-US"/>
        </w:rPr>
        <w:t>3. Materiālu komplektāciju veikt atbilstoši dotajiem darbu daudzumiem, ražotājfirmu un LR normatīvo aktu nosacījumiem.</w:t>
      </w:r>
    </w:p>
    <w:p w14:paraId="5A7CFEF5" w14:textId="77777777" w:rsidR="005321AB" w:rsidRPr="00582980" w:rsidRDefault="005321AB" w:rsidP="005321AB">
      <w:pPr>
        <w:shd w:val="clear" w:color="auto" w:fill="FFFFFF"/>
        <w:rPr>
          <w:rFonts w:eastAsia="SimSun"/>
          <w:b/>
          <w:bCs/>
          <w:spacing w:val="-1"/>
          <w:szCs w:val="24"/>
          <w:lang w:eastAsia="en-US"/>
        </w:rPr>
      </w:pPr>
    </w:p>
    <w:p w14:paraId="084DEB27" w14:textId="77777777" w:rsidR="005321AB" w:rsidRPr="00582980" w:rsidRDefault="005321AB" w:rsidP="005321AB">
      <w:pPr>
        <w:shd w:val="clear" w:color="auto" w:fill="FFFFFF"/>
        <w:rPr>
          <w:rFonts w:eastAsia="SimSun"/>
          <w:b/>
          <w:bCs/>
          <w:spacing w:val="-1"/>
          <w:szCs w:val="24"/>
          <w:lang w:eastAsia="en-US"/>
        </w:rPr>
      </w:pPr>
      <w:r w:rsidRPr="00582980">
        <w:rPr>
          <w:rFonts w:eastAsia="SimSun"/>
          <w:b/>
          <w:bCs/>
          <w:spacing w:val="-1"/>
          <w:szCs w:val="24"/>
          <w:lang w:eastAsia="en-US"/>
        </w:rPr>
        <w:t>DARBU</w:t>
      </w:r>
      <w:r>
        <w:rPr>
          <w:rFonts w:eastAsia="SimSun"/>
          <w:b/>
          <w:bCs/>
          <w:spacing w:val="-1"/>
          <w:szCs w:val="24"/>
          <w:lang w:eastAsia="en-US"/>
        </w:rPr>
        <w:t xml:space="preserve"> APJOMU</w:t>
      </w:r>
      <w:r w:rsidRPr="00582980">
        <w:rPr>
          <w:rFonts w:eastAsia="SimSun"/>
          <w:b/>
          <w:bCs/>
          <w:spacing w:val="-1"/>
          <w:szCs w:val="24"/>
          <w:lang w:eastAsia="en-US"/>
        </w:rPr>
        <w:t xml:space="preserve"> SARAKSTS pievienots papildus Excel formātā</w:t>
      </w:r>
      <w:r>
        <w:rPr>
          <w:rFonts w:eastAsia="SimSun"/>
          <w:b/>
          <w:bCs/>
          <w:spacing w:val="-1"/>
          <w:szCs w:val="24"/>
          <w:lang w:eastAsia="en-US"/>
        </w:rPr>
        <w:t>, obligāti aizpildāms</w:t>
      </w:r>
      <w:r w:rsidRPr="00582980">
        <w:rPr>
          <w:rFonts w:eastAsia="SimSun"/>
          <w:b/>
          <w:bCs/>
          <w:spacing w:val="-1"/>
          <w:szCs w:val="24"/>
          <w:lang w:eastAsia="en-US"/>
        </w:rPr>
        <w:t>.</w:t>
      </w:r>
    </w:p>
    <w:p w14:paraId="3042EB18" w14:textId="77777777" w:rsidR="005321AB" w:rsidRPr="00582980" w:rsidRDefault="005321AB" w:rsidP="005321AB">
      <w:pPr>
        <w:rPr>
          <w:rFonts w:eastAsia="SimSun"/>
          <w:b/>
          <w:szCs w:val="24"/>
          <w:lang w:eastAsia="en-US"/>
        </w:rPr>
      </w:pPr>
    </w:p>
    <w:p w14:paraId="1241CCD7" w14:textId="77777777" w:rsidR="005321AB" w:rsidRPr="00582980" w:rsidRDefault="005321AB" w:rsidP="005321AB">
      <w:pPr>
        <w:rPr>
          <w:rFonts w:eastAsia="SimSun"/>
          <w:b/>
          <w:szCs w:val="24"/>
          <w:lang w:eastAsia="en-US"/>
        </w:rPr>
      </w:pPr>
    </w:p>
    <w:p w14:paraId="62D45D10" w14:textId="4B856CC5" w:rsidR="00037BD0" w:rsidRPr="005321AB" w:rsidRDefault="005321AB" w:rsidP="005321AB">
      <w:pPr>
        <w:rPr>
          <w:rFonts w:eastAsia="SimSun"/>
          <w:szCs w:val="24"/>
          <w:lang w:eastAsia="en-US"/>
        </w:rPr>
      </w:pPr>
      <w:r w:rsidRPr="00582980">
        <w:rPr>
          <w:rFonts w:eastAsia="SimSun"/>
          <w:szCs w:val="24"/>
          <w:lang w:eastAsia="en-US"/>
        </w:rPr>
        <w:t xml:space="preserve">Tehnisko specifikāciju sagatavoja un iesniedza: </w:t>
      </w:r>
      <w:r w:rsidR="004265F2">
        <w:rPr>
          <w:rFonts w:eastAsia="SimSun"/>
          <w:szCs w:val="24"/>
          <w:lang w:eastAsia="en-US"/>
        </w:rPr>
        <w:t>valdes loceklis Māris Blitsons</w:t>
      </w:r>
      <w:bookmarkEnd w:id="0"/>
    </w:p>
    <w:sectPr w:rsidR="00037BD0" w:rsidRPr="005321A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8A5F6" w14:textId="77777777" w:rsidR="00E51B4A" w:rsidRDefault="00E51B4A" w:rsidP="007C0CB2">
      <w:r>
        <w:separator/>
      </w:r>
    </w:p>
  </w:endnote>
  <w:endnote w:type="continuationSeparator" w:id="0">
    <w:p w14:paraId="19FBB0F3" w14:textId="77777777" w:rsidR="00E51B4A" w:rsidRDefault="00E51B4A" w:rsidP="007C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Italic">
    <w:altName w:val="Yu Gothic"/>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5713056"/>
      <w:docPartObj>
        <w:docPartGallery w:val="Page Numbers (Bottom of Page)"/>
        <w:docPartUnique/>
      </w:docPartObj>
    </w:sdtPr>
    <w:sdtContent>
      <w:p w14:paraId="68452B84" w14:textId="5DBCC651" w:rsidR="004265F2" w:rsidRDefault="004265F2">
        <w:pPr>
          <w:pStyle w:val="Kjene"/>
          <w:jc w:val="center"/>
        </w:pPr>
        <w:r>
          <w:fldChar w:fldCharType="begin"/>
        </w:r>
        <w:r>
          <w:instrText>PAGE   \* MERGEFORMAT</w:instrText>
        </w:r>
        <w:r>
          <w:fldChar w:fldCharType="separate"/>
        </w:r>
        <w:r>
          <w:t>2</w:t>
        </w:r>
        <w:r>
          <w:fldChar w:fldCharType="end"/>
        </w:r>
      </w:p>
    </w:sdtContent>
  </w:sdt>
  <w:p w14:paraId="0802C995" w14:textId="77777777" w:rsidR="004265F2" w:rsidRDefault="004265F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2B20A" w14:textId="77777777" w:rsidR="00E51B4A" w:rsidRDefault="00E51B4A" w:rsidP="007C0CB2">
      <w:r>
        <w:separator/>
      </w:r>
    </w:p>
  </w:footnote>
  <w:footnote w:type="continuationSeparator" w:id="0">
    <w:p w14:paraId="504E5433" w14:textId="77777777" w:rsidR="00E51B4A" w:rsidRDefault="00E51B4A" w:rsidP="007C0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A62E6"/>
    <w:multiLevelType w:val="multilevel"/>
    <w:tmpl w:val="1D3A62E6"/>
    <w:lvl w:ilvl="0">
      <w:start w:val="1"/>
      <w:numFmt w:val="lowerLetter"/>
      <w:lvlText w:val="%1)"/>
      <w:lvlJc w:val="left"/>
      <w:pPr>
        <w:ind w:left="1512" w:hanging="360"/>
      </w:pPr>
    </w:lvl>
    <w:lvl w:ilvl="1">
      <w:start w:val="1"/>
      <w:numFmt w:val="lowerLetter"/>
      <w:lvlText w:val="%2."/>
      <w:lvlJc w:val="left"/>
      <w:pPr>
        <w:ind w:left="2232" w:hanging="360"/>
      </w:pPr>
    </w:lvl>
    <w:lvl w:ilvl="2">
      <w:start w:val="1"/>
      <w:numFmt w:val="decimal"/>
      <w:lvlText w:val="%3."/>
      <w:lvlJc w:val="left"/>
      <w:pPr>
        <w:tabs>
          <w:tab w:val="num" w:pos="3132"/>
        </w:tabs>
        <w:ind w:left="3132" w:hanging="360"/>
      </w:pPr>
      <w:rPr>
        <w:rFonts w:hint="default"/>
      </w:r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1" w15:restartNumberingAfterBreak="0">
    <w:nsid w:val="58FC028F"/>
    <w:multiLevelType w:val="multilevel"/>
    <w:tmpl w:val="3AE48670"/>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A071723"/>
    <w:multiLevelType w:val="multilevel"/>
    <w:tmpl w:val="5A071723"/>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27958C7"/>
    <w:multiLevelType w:val="multilevel"/>
    <w:tmpl w:val="727958C7"/>
    <w:lvl w:ilvl="0">
      <w:start w:val="3"/>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4" w15:restartNumberingAfterBreak="0">
    <w:nsid w:val="78B177BC"/>
    <w:multiLevelType w:val="multilevel"/>
    <w:tmpl w:val="78B177BC"/>
    <w:lvl w:ilvl="0">
      <w:start w:val="1"/>
      <w:numFmt w:val="lowerLetter"/>
      <w:lvlText w:val="%1)"/>
      <w:lvlJc w:val="left"/>
      <w:pPr>
        <w:ind w:left="1515" w:hanging="360"/>
      </w:pPr>
    </w:lvl>
    <w:lvl w:ilvl="1">
      <w:start w:val="14"/>
      <w:numFmt w:val="bullet"/>
      <w:lvlText w:val=""/>
      <w:lvlJc w:val="left"/>
      <w:pPr>
        <w:tabs>
          <w:tab w:val="num" w:pos="2415"/>
        </w:tabs>
        <w:ind w:left="2415" w:hanging="540"/>
      </w:pPr>
      <w:rPr>
        <w:rFonts w:ascii="Symbol" w:eastAsia="Times New Roman" w:hAnsi="Symbol" w:cs="Times New Roman"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ind w:left="3675" w:hanging="360"/>
      </w:pPr>
    </w:lvl>
    <w:lvl w:ilvl="4">
      <w:start w:val="1"/>
      <w:numFmt w:val="lowerLetter"/>
      <w:lvlText w:val="%5."/>
      <w:lvlJc w:val="left"/>
      <w:pPr>
        <w:ind w:left="4395" w:hanging="360"/>
      </w:pPr>
    </w:lvl>
    <w:lvl w:ilvl="5">
      <w:start w:val="1"/>
      <w:numFmt w:val="lowerRoman"/>
      <w:lvlText w:val="%6."/>
      <w:lvlJc w:val="right"/>
      <w:pPr>
        <w:ind w:left="5115" w:hanging="180"/>
      </w:pPr>
    </w:lvl>
    <w:lvl w:ilvl="6">
      <w:start w:val="1"/>
      <w:numFmt w:val="decimal"/>
      <w:lvlText w:val="%7."/>
      <w:lvlJc w:val="left"/>
      <w:pPr>
        <w:ind w:left="5835" w:hanging="360"/>
      </w:pPr>
    </w:lvl>
    <w:lvl w:ilvl="7">
      <w:start w:val="1"/>
      <w:numFmt w:val="lowerLetter"/>
      <w:lvlText w:val="%8."/>
      <w:lvlJc w:val="left"/>
      <w:pPr>
        <w:ind w:left="6555" w:hanging="360"/>
      </w:pPr>
    </w:lvl>
    <w:lvl w:ilvl="8">
      <w:start w:val="1"/>
      <w:numFmt w:val="lowerRoman"/>
      <w:lvlText w:val="%9."/>
      <w:lvlJc w:val="right"/>
      <w:pPr>
        <w:ind w:left="7275" w:hanging="180"/>
      </w:pPr>
    </w:lvl>
  </w:abstractNum>
  <w:num w:numId="1" w16cid:durableId="950548188">
    <w:abstractNumId w:val="1"/>
  </w:num>
  <w:num w:numId="2" w16cid:durableId="1615019330">
    <w:abstractNumId w:val="0"/>
  </w:num>
  <w:num w:numId="3" w16cid:durableId="1363290203">
    <w:abstractNumId w:val="2"/>
  </w:num>
  <w:num w:numId="4" w16cid:durableId="1590039201">
    <w:abstractNumId w:val="4"/>
  </w:num>
  <w:num w:numId="5" w16cid:durableId="1398017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B0"/>
    <w:rsid w:val="00037BD0"/>
    <w:rsid w:val="000660CE"/>
    <w:rsid w:val="00101495"/>
    <w:rsid w:val="0027066B"/>
    <w:rsid w:val="004265F2"/>
    <w:rsid w:val="00474284"/>
    <w:rsid w:val="005321AB"/>
    <w:rsid w:val="007C0CB2"/>
    <w:rsid w:val="008C6DFD"/>
    <w:rsid w:val="00B13BB0"/>
    <w:rsid w:val="00CC1A1F"/>
    <w:rsid w:val="00CD7B48"/>
    <w:rsid w:val="00E51B4A"/>
    <w:rsid w:val="00EB43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20D"/>
  <w15:chartTrackingRefBased/>
  <w15:docId w15:val="{D2D9DA63-A5C2-406B-9635-B9991450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3BB0"/>
    <w:pPr>
      <w:spacing w:after="0" w:line="240" w:lineRule="auto"/>
    </w:pPr>
    <w:rPr>
      <w:rFonts w:ascii="Times New Roman" w:eastAsia="Calibri" w:hAnsi="Times New Roman" w:cs="Times New Roman"/>
      <w:kern w:val="0"/>
      <w:sz w:val="24"/>
      <w:lang w:eastAsia="lv-LV"/>
      <w14:ligatures w14:val="none"/>
    </w:rPr>
  </w:style>
  <w:style w:type="paragraph" w:styleId="Virsraksts1">
    <w:name w:val="heading 1"/>
    <w:basedOn w:val="Parasts"/>
    <w:next w:val="Parasts"/>
    <w:link w:val="Virsraksts1Rakstz"/>
    <w:uiPriority w:val="9"/>
    <w:qFormat/>
    <w:rsid w:val="00B13B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B13B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B13BB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B13BB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B13BB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B13BB0"/>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13BB0"/>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13BB0"/>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13BB0"/>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13BB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B13BB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B13BB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B13BB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B13BB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B13BB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13BB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13BB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13BB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13BB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13BB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13BB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13BB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13BB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13BB0"/>
    <w:rPr>
      <w:i/>
      <w:iCs/>
      <w:color w:val="404040" w:themeColor="text1" w:themeTint="BF"/>
    </w:rPr>
  </w:style>
  <w:style w:type="paragraph" w:styleId="Sarakstarindkopa">
    <w:name w:val="List Paragraph"/>
    <w:basedOn w:val="Parasts"/>
    <w:uiPriority w:val="34"/>
    <w:qFormat/>
    <w:rsid w:val="00B13BB0"/>
    <w:pPr>
      <w:ind w:left="720"/>
      <w:contextualSpacing/>
    </w:pPr>
  </w:style>
  <w:style w:type="character" w:styleId="Intensvsizclums">
    <w:name w:val="Intense Emphasis"/>
    <w:basedOn w:val="Noklusjumarindkopasfonts"/>
    <w:uiPriority w:val="21"/>
    <w:qFormat/>
    <w:rsid w:val="00B13BB0"/>
    <w:rPr>
      <w:i/>
      <w:iCs/>
      <w:color w:val="2F5496" w:themeColor="accent1" w:themeShade="BF"/>
    </w:rPr>
  </w:style>
  <w:style w:type="paragraph" w:styleId="Intensvscitts">
    <w:name w:val="Intense Quote"/>
    <w:basedOn w:val="Parasts"/>
    <w:next w:val="Parasts"/>
    <w:link w:val="IntensvscittsRakstz"/>
    <w:uiPriority w:val="30"/>
    <w:qFormat/>
    <w:rsid w:val="00B13B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B13BB0"/>
    <w:rPr>
      <w:i/>
      <w:iCs/>
      <w:color w:val="2F5496" w:themeColor="accent1" w:themeShade="BF"/>
    </w:rPr>
  </w:style>
  <w:style w:type="character" w:styleId="Intensvaatsauce">
    <w:name w:val="Intense Reference"/>
    <w:basedOn w:val="Noklusjumarindkopasfonts"/>
    <w:uiPriority w:val="32"/>
    <w:qFormat/>
    <w:rsid w:val="00B13BB0"/>
    <w:rPr>
      <w:b/>
      <w:bCs/>
      <w:smallCaps/>
      <w:color w:val="2F5496" w:themeColor="accent1" w:themeShade="BF"/>
      <w:spacing w:val="5"/>
    </w:rPr>
  </w:style>
  <w:style w:type="character" w:styleId="Vresatsauce">
    <w:name w:val="footnote reference"/>
    <w:rsid w:val="007C0CB2"/>
    <w:rPr>
      <w:vertAlign w:val="superscript"/>
    </w:rPr>
  </w:style>
  <w:style w:type="paragraph" w:styleId="Vresteksts">
    <w:name w:val="footnote text"/>
    <w:basedOn w:val="Parasts"/>
    <w:link w:val="VrestekstsRakstz"/>
    <w:rsid w:val="007C0CB2"/>
    <w:rPr>
      <w:rFonts w:eastAsia="SimSun"/>
      <w:szCs w:val="24"/>
      <w:lang w:val="en-US" w:eastAsia="en-US"/>
    </w:rPr>
  </w:style>
  <w:style w:type="character" w:customStyle="1" w:styleId="VrestekstsRakstz">
    <w:name w:val="Vēres teksts Rakstz."/>
    <w:basedOn w:val="Noklusjumarindkopasfonts"/>
    <w:link w:val="Vresteksts"/>
    <w:rsid w:val="007C0CB2"/>
    <w:rPr>
      <w:rFonts w:ascii="Times New Roman" w:eastAsia="SimSun" w:hAnsi="Times New Roman" w:cs="Times New Roman"/>
      <w:kern w:val="0"/>
      <w:sz w:val="24"/>
      <w:szCs w:val="24"/>
      <w:lang w:val="en-US"/>
      <w14:ligatures w14:val="none"/>
    </w:rPr>
  </w:style>
  <w:style w:type="paragraph" w:styleId="Galvene">
    <w:name w:val="header"/>
    <w:basedOn w:val="Parasts"/>
    <w:link w:val="GalveneRakstz"/>
    <w:uiPriority w:val="99"/>
    <w:unhideWhenUsed/>
    <w:rsid w:val="004265F2"/>
    <w:pPr>
      <w:tabs>
        <w:tab w:val="center" w:pos="4153"/>
        <w:tab w:val="right" w:pos="8306"/>
      </w:tabs>
    </w:pPr>
  </w:style>
  <w:style w:type="character" w:customStyle="1" w:styleId="GalveneRakstz">
    <w:name w:val="Galvene Rakstz."/>
    <w:basedOn w:val="Noklusjumarindkopasfonts"/>
    <w:link w:val="Galvene"/>
    <w:uiPriority w:val="99"/>
    <w:rsid w:val="004265F2"/>
    <w:rPr>
      <w:rFonts w:ascii="Times New Roman" w:eastAsia="Calibri" w:hAnsi="Times New Roman" w:cs="Times New Roman"/>
      <w:kern w:val="0"/>
      <w:sz w:val="24"/>
      <w:lang w:eastAsia="lv-LV"/>
      <w14:ligatures w14:val="none"/>
    </w:rPr>
  </w:style>
  <w:style w:type="paragraph" w:styleId="Kjene">
    <w:name w:val="footer"/>
    <w:basedOn w:val="Parasts"/>
    <w:link w:val="KjeneRakstz"/>
    <w:uiPriority w:val="99"/>
    <w:unhideWhenUsed/>
    <w:rsid w:val="004265F2"/>
    <w:pPr>
      <w:tabs>
        <w:tab w:val="center" w:pos="4153"/>
        <w:tab w:val="right" w:pos="8306"/>
      </w:tabs>
    </w:pPr>
  </w:style>
  <w:style w:type="character" w:customStyle="1" w:styleId="KjeneRakstz">
    <w:name w:val="Kājene Rakstz."/>
    <w:basedOn w:val="Noklusjumarindkopasfonts"/>
    <w:link w:val="Kjene"/>
    <w:uiPriority w:val="99"/>
    <w:rsid w:val="004265F2"/>
    <w:rPr>
      <w:rFonts w:ascii="Times New Roman" w:eastAsia="Calibri" w:hAnsi="Times New Roman" w:cs="Times New Roman"/>
      <w:kern w:val="0"/>
      <w:sz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BB488-EE61-46C6-920D-21B8E6C0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3292</Words>
  <Characters>1877</Characters>
  <Application>Microsoft Office Word</Application>
  <DocSecurity>0</DocSecurity>
  <Lines>15</Lines>
  <Paragraphs>10</Paragraphs>
  <ScaleCrop>false</ScaleCrop>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Ekonomists</dc:creator>
  <cp:keywords/>
  <dc:description/>
  <cp:lastModifiedBy>Vide</cp:lastModifiedBy>
  <cp:revision>5</cp:revision>
  <cp:lastPrinted>2025-04-15T11:02:00Z</cp:lastPrinted>
  <dcterms:created xsi:type="dcterms:W3CDTF">2025-04-15T11:07:00Z</dcterms:created>
  <dcterms:modified xsi:type="dcterms:W3CDTF">2025-06-25T12:39:00Z</dcterms:modified>
</cp:coreProperties>
</file>